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r w:rsidRPr="00693FF6">
        <w:rPr>
          <w:rFonts w:ascii="Times New Roman" w:hAnsi="Times New Roman" w:cs="Times New Roman"/>
          <w:sz w:val="24"/>
          <w:szCs w:val="24"/>
        </w:rPr>
        <w:t>Crisis and Trauma in Social Work</w:t>
      </w:r>
    </w:p>
    <w:p w:rsidR="00D97101" w:rsidRPr="00693FF6" w:rsidP="00D97101">
      <w:pPr>
        <w:spacing w:line="480" w:lineRule="auto"/>
        <w:ind w:firstLine="720"/>
        <w:jc w:val="center"/>
        <w:rPr>
          <w:rFonts w:ascii="Times New Roman" w:hAnsi="Times New Roman" w:cs="Times New Roman"/>
          <w:sz w:val="24"/>
          <w:szCs w:val="24"/>
        </w:rPr>
      </w:pPr>
      <w:r w:rsidRPr="00693FF6">
        <w:rPr>
          <w:rFonts w:ascii="Times New Roman" w:hAnsi="Times New Roman" w:cs="Times New Roman"/>
          <w:sz w:val="24"/>
          <w:szCs w:val="24"/>
        </w:rPr>
        <w:t>Students Name</w:t>
      </w:r>
    </w:p>
    <w:p w:rsidR="00D97101" w:rsidRPr="00693FF6" w:rsidP="00D97101">
      <w:pPr>
        <w:spacing w:line="480" w:lineRule="auto"/>
        <w:ind w:firstLine="720"/>
        <w:jc w:val="center"/>
        <w:rPr>
          <w:rFonts w:ascii="Times New Roman" w:hAnsi="Times New Roman" w:cs="Times New Roman"/>
          <w:sz w:val="24"/>
          <w:szCs w:val="24"/>
        </w:rPr>
      </w:pPr>
      <w:r w:rsidRPr="00693FF6">
        <w:rPr>
          <w:rFonts w:ascii="Times New Roman" w:hAnsi="Times New Roman" w:cs="Times New Roman"/>
          <w:sz w:val="24"/>
          <w:szCs w:val="24"/>
        </w:rPr>
        <w:t>Institution</w:t>
      </w:r>
    </w:p>
    <w:p w:rsidR="00D97101" w:rsidRPr="00693FF6" w:rsidP="00D97101">
      <w:pPr>
        <w:spacing w:line="480" w:lineRule="auto"/>
        <w:ind w:firstLine="720"/>
        <w:jc w:val="center"/>
        <w:rPr>
          <w:rFonts w:ascii="Times New Roman" w:hAnsi="Times New Roman" w:cs="Times New Roman"/>
          <w:sz w:val="24"/>
          <w:szCs w:val="24"/>
        </w:rPr>
      </w:pPr>
      <w:r w:rsidRPr="00693FF6">
        <w:rPr>
          <w:rFonts w:ascii="Times New Roman" w:hAnsi="Times New Roman" w:cs="Times New Roman"/>
          <w:sz w:val="24"/>
          <w:szCs w:val="24"/>
        </w:rPr>
        <w:t>Date</w:t>
      </w: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p>
    <w:p w:rsidR="00D97101" w:rsidRPr="00693FF6" w:rsidP="00D97101">
      <w:pPr>
        <w:spacing w:line="480" w:lineRule="auto"/>
        <w:rPr>
          <w:rFonts w:ascii="Times New Roman" w:hAnsi="Times New Roman" w:cs="Times New Roman"/>
          <w:sz w:val="24"/>
          <w:szCs w:val="24"/>
        </w:rPr>
      </w:pPr>
    </w:p>
    <w:p w:rsidR="00D97101" w:rsidRPr="00693FF6" w:rsidP="00D97101">
      <w:pPr>
        <w:spacing w:line="480" w:lineRule="auto"/>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bookmarkStart w:id="0" w:name="_GoBack"/>
      <w:bookmarkEnd w:id="0"/>
    </w:p>
    <w:p w:rsidR="00F82502" w:rsidRPr="00693FF6" w:rsidP="00D97101">
      <w:pPr>
        <w:spacing w:line="480" w:lineRule="auto"/>
        <w:ind w:firstLine="720"/>
        <w:jc w:val="center"/>
        <w:rPr>
          <w:rFonts w:ascii="Times New Roman" w:hAnsi="Times New Roman" w:cs="Times New Roman"/>
          <w:sz w:val="24"/>
          <w:szCs w:val="24"/>
        </w:rPr>
      </w:pPr>
      <w:r w:rsidRPr="00693FF6">
        <w:rPr>
          <w:rFonts w:ascii="Times New Roman" w:hAnsi="Times New Roman" w:cs="Times New Roman"/>
          <w:sz w:val="24"/>
          <w:szCs w:val="24"/>
        </w:rPr>
        <w:t>Crisis and Trauma</w:t>
      </w:r>
      <w:r w:rsidRPr="00693FF6" w:rsidR="00D97101">
        <w:rPr>
          <w:rFonts w:ascii="Times New Roman" w:hAnsi="Times New Roman" w:cs="Times New Roman"/>
          <w:sz w:val="24"/>
          <w:szCs w:val="24"/>
        </w:rPr>
        <w:t xml:space="preserve"> in Social</w:t>
      </w:r>
      <w:r w:rsidRPr="00693FF6">
        <w:rPr>
          <w:rFonts w:ascii="Times New Roman" w:hAnsi="Times New Roman" w:cs="Times New Roman"/>
          <w:sz w:val="24"/>
          <w:szCs w:val="24"/>
        </w:rPr>
        <w:t xml:space="preserve"> Work</w:t>
      </w:r>
    </w:p>
    <w:p w:rsidR="00F82502" w:rsidRPr="00693FF6" w:rsidP="00D97101">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 xml:space="preserve">Social workers experiences with persons with emotional pain usually have significant effects on them both mentally and physically. </w:t>
      </w:r>
      <w:r w:rsidRPr="00693FF6" w:rsidR="00A02303">
        <w:rPr>
          <w:rFonts w:ascii="Times New Roman" w:hAnsi="Times New Roman" w:cs="Times New Roman"/>
          <w:sz w:val="24"/>
          <w:szCs w:val="24"/>
        </w:rPr>
        <w:t>Therefore, caregivers are required to gain knowledge on the various occurrences in order to mitigate stress in their ever toxic working environment. This understanding is vital as social workers are aware of the risk involved in their work and seeking assistance during overwhelming situations becomes their ultimate choice. Vicarious trauma, burnout and counter</w:t>
      </w:r>
      <w:r w:rsidRPr="00693FF6" w:rsidR="00753B62">
        <w:rPr>
          <w:rFonts w:ascii="Times New Roman" w:hAnsi="Times New Roman" w:cs="Times New Roman"/>
          <w:sz w:val="24"/>
          <w:szCs w:val="24"/>
        </w:rPr>
        <w:t>transference are the potential impacts of social work experiences this paper addresses.</w:t>
      </w:r>
    </w:p>
    <w:p w:rsidR="00637ACA" w:rsidRPr="00693FF6" w:rsidP="00D97101">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Vicarious trauma is a change in the self of a therapist that results from empathetic engagement with traumatized patients and their tr</w:t>
      </w:r>
      <w:r w:rsidRPr="00693FF6" w:rsidR="00CE252C">
        <w:rPr>
          <w:rFonts w:ascii="Times New Roman" w:hAnsi="Times New Roman" w:cs="Times New Roman"/>
          <w:sz w:val="24"/>
          <w:szCs w:val="24"/>
        </w:rPr>
        <w:t>aumatic experience reports.</w:t>
      </w:r>
      <w:r w:rsidRPr="00693FF6" w:rsidR="009D066F">
        <w:rPr>
          <w:rFonts w:ascii="Times New Roman" w:hAnsi="Times New Roman" w:cs="Times New Roman"/>
          <w:sz w:val="24"/>
          <w:szCs w:val="24"/>
        </w:rPr>
        <w:t xml:space="preserve"> Burnout out on the other hand is the fatigue, frustration, or apathy consequent of long periods of exposure to stress, overwork, or intense activity. Countertransference in patient therapy is a phenomenon whereby </w:t>
      </w:r>
      <w:r w:rsidRPr="00693FF6" w:rsidR="00FF72FC">
        <w:rPr>
          <w:rFonts w:ascii="Times New Roman" w:hAnsi="Times New Roman" w:cs="Times New Roman"/>
          <w:sz w:val="24"/>
          <w:szCs w:val="24"/>
        </w:rPr>
        <w:t>helpers respond irrationally due to inappropriate occurrences or loss of focus in the therapist-client relationship due to a personal conflict</w:t>
      </w:r>
      <w:r w:rsidRPr="00693FF6" w:rsidR="00693FF6">
        <w:rPr>
          <w:rFonts w:ascii="Times New Roman" w:hAnsi="Times New Roman" w:cs="Times New Roman"/>
          <w:sz w:val="24"/>
          <w:szCs w:val="24"/>
        </w:rPr>
        <w:t xml:space="preserve"> (Elbert, et al 2017)</w:t>
      </w:r>
      <w:r w:rsidRPr="00693FF6" w:rsidR="00FF72FC">
        <w:rPr>
          <w:rFonts w:ascii="Times New Roman" w:hAnsi="Times New Roman" w:cs="Times New Roman"/>
          <w:sz w:val="24"/>
          <w:szCs w:val="24"/>
        </w:rPr>
        <w:t>.</w:t>
      </w:r>
      <w:r w:rsidRPr="00693FF6" w:rsidR="009D066F">
        <w:rPr>
          <w:rFonts w:ascii="Times New Roman" w:hAnsi="Times New Roman" w:cs="Times New Roman"/>
          <w:sz w:val="24"/>
          <w:szCs w:val="24"/>
        </w:rPr>
        <w:t xml:space="preserve"> </w:t>
      </w:r>
    </w:p>
    <w:p w:rsidR="00DF733D"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ab/>
      </w:r>
      <w:r w:rsidRPr="00693FF6" w:rsidR="005F5CD7">
        <w:rPr>
          <w:rFonts w:ascii="Times New Roman" w:hAnsi="Times New Roman" w:cs="Times New Roman"/>
          <w:sz w:val="24"/>
          <w:szCs w:val="24"/>
        </w:rPr>
        <w:t xml:space="preserve">Vicarious trauma emanates from indirect contact with patients of post-traumatic stress symptoms. This, in turn, causes similar symptoms where intrusive imagery about the traumatic </w:t>
      </w:r>
      <w:r w:rsidRPr="00693FF6" w:rsidR="00B122F9">
        <w:rPr>
          <w:rFonts w:ascii="Times New Roman" w:hAnsi="Times New Roman" w:cs="Times New Roman"/>
          <w:sz w:val="24"/>
          <w:szCs w:val="24"/>
        </w:rPr>
        <w:t>experiences invades a trauma therapist. This results in a change in an individual's perception of the world a characteristic absent in burnout and counter</w:t>
      </w:r>
      <w:r w:rsidRPr="00693FF6" w:rsidR="00F86256">
        <w:rPr>
          <w:rFonts w:ascii="Times New Roman" w:hAnsi="Times New Roman" w:cs="Times New Roman"/>
          <w:sz w:val="24"/>
          <w:szCs w:val="24"/>
        </w:rPr>
        <w:t>trans</w:t>
      </w:r>
      <w:r w:rsidRPr="00693FF6" w:rsidR="00B122F9">
        <w:rPr>
          <w:rFonts w:ascii="Times New Roman" w:hAnsi="Times New Roman" w:cs="Times New Roman"/>
          <w:sz w:val="24"/>
          <w:szCs w:val="24"/>
        </w:rPr>
        <w:t>ference conditions</w:t>
      </w:r>
      <w:r w:rsidRPr="00693FF6" w:rsidR="00F86256">
        <w:rPr>
          <w:rFonts w:ascii="Times New Roman" w:hAnsi="Times New Roman" w:cs="Times New Roman"/>
          <w:sz w:val="24"/>
          <w:szCs w:val="24"/>
        </w:rPr>
        <w:t>.</w:t>
      </w:r>
      <w:r w:rsidRPr="00693FF6" w:rsidR="00D80C27">
        <w:rPr>
          <w:rFonts w:ascii="Times New Roman" w:hAnsi="Times New Roman" w:cs="Times New Roman"/>
          <w:sz w:val="24"/>
          <w:szCs w:val="24"/>
        </w:rPr>
        <w:t xml:space="preserve"> Vicarious trauma can lead to burnout whereby a helper gets overwhelmed by the activities in their workplace.</w:t>
      </w:r>
      <w:r w:rsidRPr="00693FF6" w:rsidR="00F86256">
        <w:rPr>
          <w:rFonts w:ascii="Times New Roman" w:hAnsi="Times New Roman" w:cs="Times New Roman"/>
          <w:sz w:val="24"/>
          <w:szCs w:val="24"/>
        </w:rPr>
        <w:t xml:space="preserve"> Burnout is similar to vicarious trauma only that trauma is absent in burnout. </w:t>
      </w:r>
      <w:r w:rsidRPr="00693FF6" w:rsidR="009060E3">
        <w:rPr>
          <w:rFonts w:ascii="Times New Roman" w:hAnsi="Times New Roman" w:cs="Times New Roman"/>
          <w:sz w:val="24"/>
          <w:szCs w:val="24"/>
        </w:rPr>
        <w:t>Countertransference entails the activation of unconscious material in the psyche of the patient’s ca</w:t>
      </w:r>
      <w:r w:rsidRPr="00693FF6" w:rsidR="00D80C27">
        <w:rPr>
          <w:rFonts w:ascii="Times New Roman" w:hAnsi="Times New Roman" w:cs="Times New Roman"/>
          <w:sz w:val="24"/>
          <w:szCs w:val="24"/>
        </w:rPr>
        <w:t xml:space="preserve">regivers due to the exposure to the dynamic issues affecting their patients. </w:t>
      </w:r>
      <w:r w:rsidRPr="00693FF6" w:rsidR="00F375BC">
        <w:rPr>
          <w:rFonts w:ascii="Times New Roman" w:hAnsi="Times New Roman" w:cs="Times New Roman"/>
          <w:sz w:val="24"/>
          <w:szCs w:val="24"/>
        </w:rPr>
        <w:t xml:space="preserve">This renders the caregivers in toxic work environments inappropriate in addressing patent’s issues. Countertransference is different from vicarious trauma by the fact that it </w:t>
      </w:r>
      <w:r w:rsidRPr="00693FF6" w:rsidR="008E55F9">
        <w:rPr>
          <w:rFonts w:ascii="Times New Roman" w:hAnsi="Times New Roman" w:cs="Times New Roman"/>
          <w:sz w:val="24"/>
          <w:szCs w:val="24"/>
        </w:rPr>
        <w:t xml:space="preserve">doesn't involve the </w:t>
      </w:r>
      <w:r w:rsidRPr="00693FF6" w:rsidR="008E55F9">
        <w:rPr>
          <w:rFonts w:ascii="Times New Roman" w:hAnsi="Times New Roman" w:cs="Times New Roman"/>
          <w:sz w:val="24"/>
          <w:szCs w:val="24"/>
        </w:rPr>
        <w:t>a</w:t>
      </w:r>
      <w:r w:rsidRPr="00693FF6" w:rsidR="00543CB6">
        <w:rPr>
          <w:rFonts w:ascii="Times New Roman" w:hAnsi="Times New Roman" w:cs="Times New Roman"/>
          <w:sz w:val="24"/>
          <w:szCs w:val="24"/>
        </w:rPr>
        <w:t>ccumulation of experiences; these</w:t>
      </w:r>
      <w:r w:rsidRPr="00693FF6" w:rsidR="008E55F9">
        <w:rPr>
          <w:rFonts w:ascii="Times New Roman" w:hAnsi="Times New Roman" w:cs="Times New Roman"/>
          <w:sz w:val="24"/>
          <w:szCs w:val="24"/>
        </w:rPr>
        <w:t xml:space="preserve"> </w:t>
      </w:r>
      <w:r w:rsidRPr="00693FF6" w:rsidR="00543CB6">
        <w:rPr>
          <w:rFonts w:ascii="Times New Roman" w:hAnsi="Times New Roman" w:cs="Times New Roman"/>
          <w:sz w:val="24"/>
          <w:szCs w:val="24"/>
        </w:rPr>
        <w:t>experiences cause trauma</w:t>
      </w:r>
      <w:r w:rsidRPr="00693FF6" w:rsidR="00F375BC">
        <w:rPr>
          <w:rFonts w:ascii="Times New Roman" w:hAnsi="Times New Roman" w:cs="Times New Roman"/>
          <w:sz w:val="24"/>
          <w:szCs w:val="24"/>
        </w:rPr>
        <w:t xml:space="preserve">. Traumatic </w:t>
      </w:r>
      <w:r w:rsidRPr="00693FF6" w:rsidR="00885EF6">
        <w:rPr>
          <w:rFonts w:ascii="Times New Roman" w:hAnsi="Times New Roman" w:cs="Times New Roman"/>
          <w:sz w:val="24"/>
          <w:szCs w:val="24"/>
        </w:rPr>
        <w:t>experiences result from an accumulation of toxic experiences far beyond the state of countertransference and the burnout condition. Therefore,</w:t>
      </w:r>
      <w:r w:rsidRPr="00693FF6" w:rsidR="008E55F9">
        <w:rPr>
          <w:rFonts w:ascii="Times New Roman" w:hAnsi="Times New Roman" w:cs="Times New Roman"/>
          <w:sz w:val="24"/>
          <w:szCs w:val="24"/>
        </w:rPr>
        <w:t xml:space="preserve"> vicarious trauma is can result in</w:t>
      </w:r>
      <w:r w:rsidRPr="00693FF6" w:rsidR="00885EF6">
        <w:rPr>
          <w:rFonts w:ascii="Times New Roman" w:hAnsi="Times New Roman" w:cs="Times New Roman"/>
          <w:sz w:val="24"/>
          <w:szCs w:val="24"/>
        </w:rPr>
        <w:t xml:space="preserve"> permanent political, spiritual and professional change</w:t>
      </w:r>
      <w:r w:rsidRPr="00693FF6" w:rsidR="0075345F">
        <w:rPr>
          <w:rFonts w:ascii="Times New Roman" w:hAnsi="Times New Roman" w:cs="Times New Roman"/>
          <w:sz w:val="24"/>
          <w:szCs w:val="24"/>
        </w:rPr>
        <w:t xml:space="preserve"> i</w:t>
      </w:r>
      <w:r w:rsidRPr="00693FF6" w:rsidR="00885EF6">
        <w:rPr>
          <w:rFonts w:ascii="Times New Roman" w:hAnsi="Times New Roman" w:cs="Times New Roman"/>
          <w:sz w:val="24"/>
          <w:szCs w:val="24"/>
        </w:rPr>
        <w:t>s on caregivers which is inapplicable in burnout and countertransference</w:t>
      </w:r>
      <w:r w:rsidRPr="00693FF6" w:rsidR="00693FF6">
        <w:rPr>
          <w:rFonts w:ascii="Times New Roman" w:hAnsi="Times New Roman" w:cs="Times New Roman"/>
          <w:sz w:val="24"/>
          <w:szCs w:val="24"/>
        </w:rPr>
        <w:t xml:space="preserve"> (</w:t>
      </w:r>
      <w:r w:rsidRPr="00693FF6" w:rsidR="00693FF6">
        <w:rPr>
          <w:rFonts w:ascii="Times New Roman" w:hAnsi="Times New Roman" w:cs="Times New Roman"/>
          <w:sz w:val="24"/>
          <w:szCs w:val="24"/>
        </w:rPr>
        <w:t>Kitchingman</w:t>
      </w:r>
      <w:r w:rsidRPr="00693FF6" w:rsidR="00693FF6">
        <w:rPr>
          <w:rFonts w:ascii="Times New Roman" w:hAnsi="Times New Roman" w:cs="Times New Roman"/>
          <w:sz w:val="24"/>
          <w:szCs w:val="24"/>
        </w:rPr>
        <w:t>, et al 2017)</w:t>
      </w:r>
      <w:r w:rsidRPr="00693FF6" w:rsidR="00885EF6">
        <w:rPr>
          <w:rFonts w:ascii="Times New Roman" w:hAnsi="Times New Roman" w:cs="Times New Roman"/>
          <w:sz w:val="24"/>
          <w:szCs w:val="24"/>
        </w:rPr>
        <w:t>.</w:t>
      </w:r>
    </w:p>
    <w:p w:rsidR="00885EF6"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ab/>
        <w:t>According to a 2008 study</w:t>
      </w:r>
      <w:r w:rsidRPr="00693FF6" w:rsidR="00AD0D88">
        <w:rPr>
          <w:rFonts w:ascii="Times New Roman" w:hAnsi="Times New Roman" w:cs="Times New Roman"/>
          <w:sz w:val="24"/>
          <w:szCs w:val="24"/>
        </w:rPr>
        <w:t>, working</w:t>
      </w:r>
      <w:r w:rsidRPr="00693FF6">
        <w:rPr>
          <w:rFonts w:ascii="Times New Roman" w:hAnsi="Times New Roman" w:cs="Times New Roman"/>
          <w:sz w:val="24"/>
          <w:szCs w:val="24"/>
        </w:rPr>
        <w:t xml:space="preserve"> in trauma remedy institutions can be both addictive and destructive. </w:t>
      </w:r>
      <w:r w:rsidRPr="00693FF6" w:rsidR="00AD0D88">
        <w:rPr>
          <w:rFonts w:ascii="Times New Roman" w:hAnsi="Times New Roman" w:cs="Times New Roman"/>
          <w:sz w:val="24"/>
          <w:szCs w:val="24"/>
        </w:rPr>
        <w:t xml:space="preserve">The continuous involvement with clients in crisis in the therapy intensive procedures </w:t>
      </w:r>
      <w:r w:rsidRPr="00693FF6" w:rsidR="0075345F">
        <w:rPr>
          <w:rFonts w:ascii="Times New Roman" w:hAnsi="Times New Roman" w:cs="Times New Roman"/>
          <w:sz w:val="24"/>
          <w:szCs w:val="24"/>
        </w:rPr>
        <w:t xml:space="preserve">can render health workers addicts to client improvement. The caregivers share the experiences in similar width and depth as the clients which construct memories in the caregivers. Burnout occurs when </w:t>
      </w:r>
      <w:r w:rsidRPr="00693FF6" w:rsidR="008E55F9">
        <w:rPr>
          <w:rFonts w:ascii="Times New Roman" w:hAnsi="Times New Roman" w:cs="Times New Roman"/>
          <w:sz w:val="24"/>
          <w:szCs w:val="24"/>
        </w:rPr>
        <w:t>a work experience is too demanding, stressful and unrewarding. It lowers physical and emotional energy, destroys interpersonal relationships as well as lower resistance to health conditions. In the long-run, an individual becomes pessimistic and dissatisfied in the occurrences</w:t>
      </w:r>
      <w:r w:rsidRPr="00693FF6" w:rsidR="00543CB6">
        <w:rPr>
          <w:rFonts w:ascii="Times New Roman" w:hAnsi="Times New Roman" w:cs="Times New Roman"/>
          <w:sz w:val="24"/>
          <w:szCs w:val="24"/>
        </w:rPr>
        <w:t xml:space="preserve"> around them and this renders workers inefficient</w:t>
      </w:r>
      <w:r w:rsidRPr="00693FF6" w:rsidR="008E55F9">
        <w:rPr>
          <w:rFonts w:ascii="Times New Roman" w:hAnsi="Times New Roman" w:cs="Times New Roman"/>
          <w:sz w:val="24"/>
          <w:szCs w:val="24"/>
        </w:rPr>
        <w:t xml:space="preserve"> and </w:t>
      </w:r>
      <w:r w:rsidRPr="00693FF6" w:rsidR="00543CB6">
        <w:rPr>
          <w:rFonts w:ascii="Times New Roman" w:hAnsi="Times New Roman" w:cs="Times New Roman"/>
          <w:sz w:val="24"/>
          <w:szCs w:val="24"/>
        </w:rPr>
        <w:t>fosters work absenteeism</w:t>
      </w:r>
      <w:r w:rsidRPr="00693FF6" w:rsidR="00693FF6">
        <w:rPr>
          <w:rFonts w:ascii="Times New Roman" w:hAnsi="Times New Roman" w:cs="Times New Roman"/>
          <w:sz w:val="24"/>
          <w:szCs w:val="24"/>
        </w:rPr>
        <w:t xml:space="preserve"> (</w:t>
      </w:r>
      <w:r w:rsidRPr="00693FF6" w:rsidR="00693FF6">
        <w:rPr>
          <w:rFonts w:ascii="Times New Roman" w:hAnsi="Times New Roman" w:cs="Times New Roman"/>
          <w:sz w:val="24"/>
          <w:szCs w:val="24"/>
        </w:rPr>
        <w:t>Kitchingman</w:t>
      </w:r>
      <w:r w:rsidRPr="00693FF6" w:rsidR="00693FF6">
        <w:rPr>
          <w:rFonts w:ascii="Times New Roman" w:hAnsi="Times New Roman" w:cs="Times New Roman"/>
          <w:sz w:val="24"/>
          <w:szCs w:val="24"/>
        </w:rPr>
        <w:t>, et al 2017)</w:t>
      </w:r>
      <w:r w:rsidRPr="00693FF6" w:rsidR="00543CB6">
        <w:rPr>
          <w:rFonts w:ascii="Times New Roman" w:hAnsi="Times New Roman" w:cs="Times New Roman"/>
          <w:sz w:val="24"/>
          <w:szCs w:val="24"/>
        </w:rPr>
        <w:t xml:space="preserve">. </w:t>
      </w:r>
    </w:p>
    <w:p w:rsidR="005D11FD"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ab/>
        <w:t xml:space="preserve">Countertransference is client centred whereby difficulty at work showcases a caregiver’s personal and private thoughts, </w:t>
      </w:r>
      <w:r w:rsidRPr="00693FF6" w:rsidR="00251E6D">
        <w:rPr>
          <w:rFonts w:ascii="Times New Roman" w:hAnsi="Times New Roman" w:cs="Times New Roman"/>
          <w:sz w:val="24"/>
          <w:szCs w:val="24"/>
        </w:rPr>
        <w:t>feelings and behaviours which makes them focus on personal interests rather than on the patient’s needs.</w:t>
      </w:r>
      <w:r w:rsidRPr="00693FF6">
        <w:rPr>
          <w:rFonts w:ascii="Times New Roman" w:hAnsi="Times New Roman" w:cs="Times New Roman"/>
          <w:sz w:val="24"/>
          <w:szCs w:val="24"/>
        </w:rPr>
        <w:t xml:space="preserve"> </w:t>
      </w:r>
      <w:r w:rsidRPr="00693FF6" w:rsidR="00251E6D">
        <w:rPr>
          <w:rFonts w:ascii="Times New Roman" w:hAnsi="Times New Roman" w:cs="Times New Roman"/>
          <w:sz w:val="24"/>
          <w:szCs w:val="24"/>
        </w:rPr>
        <w:t xml:space="preserve">Countertransference can be contained as soon as it has occurred thus it is temporary and occurs in a limited time when compared to vicarious trauma. Reaction towards patients can either be positive or negative, however, the countertransference should be addressed in a positive manner. </w:t>
      </w:r>
      <w:r w:rsidRPr="00693FF6" w:rsidR="00F82502">
        <w:rPr>
          <w:rFonts w:ascii="Times New Roman" w:hAnsi="Times New Roman" w:cs="Times New Roman"/>
          <w:sz w:val="24"/>
          <w:szCs w:val="24"/>
        </w:rPr>
        <w:t>Caregivers are humans just as their patients; transference is unavoidable in therapy procedures thus caregivers should constantly seek assistance to manage the condition so as to ensure efficiency at work.</w:t>
      </w:r>
    </w:p>
    <w:p w:rsidR="005D11FD" w:rsidRPr="00693FF6" w:rsidP="00D97101">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 xml:space="preserve">Narrowing to specific impacts of vicarious trauma on social workers, disruption of the frame of reference and </w:t>
      </w:r>
      <w:r w:rsidRPr="00693FF6" w:rsidR="0049022A">
        <w:rPr>
          <w:rFonts w:ascii="Times New Roman" w:hAnsi="Times New Roman" w:cs="Times New Roman"/>
          <w:sz w:val="24"/>
          <w:szCs w:val="24"/>
        </w:rPr>
        <w:t xml:space="preserve">alteration of psychological needs and cognitive schemas are the points </w:t>
      </w:r>
      <w:r w:rsidRPr="00693FF6" w:rsidR="0049022A">
        <w:rPr>
          <w:rFonts w:ascii="Times New Roman" w:hAnsi="Times New Roman" w:cs="Times New Roman"/>
          <w:sz w:val="24"/>
          <w:szCs w:val="24"/>
        </w:rPr>
        <w:t>of interest in this paper. The condition induces social withdraw, nightmares, despair and hopelessness, cynicism and takes up energy vital for an individual's mental and physical stability. This takes place gradually where the patient is deprived of their ego resources and self-capacity which have long-term implications on personal identity and perception of the world. This renders practising social work professionals patients</w:t>
      </w:r>
      <w:r w:rsidRPr="00693FF6" w:rsidR="00754079">
        <w:rPr>
          <w:rFonts w:ascii="Times New Roman" w:hAnsi="Times New Roman" w:cs="Times New Roman"/>
          <w:sz w:val="24"/>
          <w:szCs w:val="24"/>
        </w:rPr>
        <w:t xml:space="preserve"> who require therapeutic support</w:t>
      </w:r>
      <w:r w:rsidRPr="00693FF6" w:rsidR="00693FF6">
        <w:rPr>
          <w:rFonts w:ascii="Times New Roman" w:hAnsi="Times New Roman" w:cs="Times New Roman"/>
          <w:sz w:val="24"/>
          <w:szCs w:val="24"/>
        </w:rPr>
        <w:t xml:space="preserve"> (Meyer, Elbert, &amp; </w:t>
      </w:r>
      <w:r w:rsidRPr="00693FF6" w:rsidR="00693FF6">
        <w:rPr>
          <w:rFonts w:ascii="Times New Roman" w:hAnsi="Times New Roman" w:cs="Times New Roman"/>
          <w:sz w:val="24"/>
          <w:szCs w:val="24"/>
        </w:rPr>
        <w:t>Schauer</w:t>
      </w:r>
      <w:r w:rsidRPr="00693FF6" w:rsidR="00693FF6">
        <w:rPr>
          <w:rFonts w:ascii="Times New Roman" w:hAnsi="Times New Roman" w:cs="Times New Roman"/>
          <w:sz w:val="24"/>
          <w:szCs w:val="24"/>
        </w:rPr>
        <w:t>, 2017)</w:t>
      </w:r>
      <w:r w:rsidRPr="00693FF6" w:rsidR="00754079">
        <w:rPr>
          <w:rFonts w:ascii="Times New Roman" w:hAnsi="Times New Roman" w:cs="Times New Roman"/>
          <w:sz w:val="24"/>
          <w:szCs w:val="24"/>
        </w:rPr>
        <w:t>.</w:t>
      </w:r>
    </w:p>
    <w:p w:rsidR="00753B62" w:rsidRPr="00693FF6" w:rsidP="00D97101">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 xml:space="preserve"> Availability of social workers for treatment procedures signifies their strength to cope with their profession’s inevitable challenges. Failure to seek support intensifies trauma which is dire. Patients become absorbed in the mental activities of their secondarily induced traumatic activities obviously placing themselves on similar platforms as their patients. Trauma should be addressed positively through creating awareness to ensure mindfulness and acceptance to its </w:t>
      </w:r>
      <w:r w:rsidRPr="00693FF6" w:rsidR="005D11FD">
        <w:rPr>
          <w:rFonts w:ascii="Times New Roman" w:hAnsi="Times New Roman" w:cs="Times New Roman"/>
          <w:sz w:val="24"/>
          <w:szCs w:val="24"/>
        </w:rPr>
        <w:t>occurrence. A balance both on work activities and inner-self of social workers is also crucial to ensure the professionals work optimally without been overwhelmed by work. Lastly, ensuring social connections exists is vital as it promotes proper communication which enables the condition to be identified so that relevant assistance can be offered</w:t>
      </w:r>
      <w:r w:rsidRPr="00693FF6" w:rsidR="00693FF6">
        <w:rPr>
          <w:rFonts w:ascii="Times New Roman" w:hAnsi="Times New Roman" w:cs="Times New Roman"/>
          <w:sz w:val="24"/>
          <w:szCs w:val="24"/>
        </w:rPr>
        <w:t xml:space="preserve"> (</w:t>
      </w:r>
      <w:r w:rsidRPr="00693FF6" w:rsidR="00693FF6">
        <w:rPr>
          <w:rFonts w:ascii="Times New Roman" w:hAnsi="Times New Roman" w:cs="Times New Roman"/>
          <w:sz w:val="24"/>
          <w:szCs w:val="24"/>
        </w:rPr>
        <w:t>Mirabito</w:t>
      </w:r>
      <w:r w:rsidRPr="00693FF6" w:rsidR="00693FF6">
        <w:rPr>
          <w:rFonts w:ascii="Times New Roman" w:hAnsi="Times New Roman" w:cs="Times New Roman"/>
          <w:sz w:val="24"/>
          <w:szCs w:val="24"/>
        </w:rPr>
        <w:t>, 2017)</w:t>
      </w:r>
      <w:r w:rsidRPr="00693FF6" w:rsidR="005D11FD">
        <w:rPr>
          <w:rFonts w:ascii="Times New Roman" w:hAnsi="Times New Roman" w:cs="Times New Roman"/>
          <w:sz w:val="24"/>
          <w:szCs w:val="24"/>
        </w:rPr>
        <w:t>.</w:t>
      </w: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rPr>
          <w:rFonts w:ascii="Times New Roman" w:hAnsi="Times New Roman" w:cs="Times New Roman"/>
          <w:sz w:val="24"/>
          <w:szCs w:val="24"/>
        </w:rPr>
      </w:pPr>
    </w:p>
    <w:p w:rsidR="00D97101" w:rsidRPr="00693FF6" w:rsidP="00D97101">
      <w:pPr>
        <w:spacing w:line="480" w:lineRule="auto"/>
        <w:ind w:firstLine="720"/>
        <w:jc w:val="center"/>
        <w:rPr>
          <w:rFonts w:ascii="Times New Roman" w:hAnsi="Times New Roman" w:cs="Times New Roman"/>
          <w:sz w:val="24"/>
          <w:szCs w:val="24"/>
        </w:rPr>
      </w:pPr>
      <w:r w:rsidRPr="00693FF6">
        <w:rPr>
          <w:rFonts w:ascii="Times New Roman" w:hAnsi="Times New Roman" w:cs="Times New Roman"/>
          <w:sz w:val="24"/>
          <w:szCs w:val="24"/>
        </w:rPr>
        <w:t>References</w:t>
      </w:r>
    </w:p>
    <w:p w:rsidR="00C802EC"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 xml:space="preserve">Elbert, T., </w:t>
      </w:r>
      <w:r w:rsidRPr="00693FF6">
        <w:rPr>
          <w:rFonts w:ascii="Times New Roman" w:hAnsi="Times New Roman" w:cs="Times New Roman"/>
          <w:sz w:val="24"/>
          <w:szCs w:val="24"/>
        </w:rPr>
        <w:t>Wilker</w:t>
      </w:r>
      <w:r w:rsidRPr="00693FF6">
        <w:rPr>
          <w:rFonts w:ascii="Times New Roman" w:hAnsi="Times New Roman" w:cs="Times New Roman"/>
          <w:sz w:val="24"/>
          <w:szCs w:val="24"/>
        </w:rPr>
        <w:t xml:space="preserve">, S., </w:t>
      </w:r>
      <w:r w:rsidRPr="00693FF6">
        <w:rPr>
          <w:rFonts w:ascii="Times New Roman" w:hAnsi="Times New Roman" w:cs="Times New Roman"/>
          <w:sz w:val="24"/>
          <w:szCs w:val="24"/>
        </w:rPr>
        <w:t>Schauer</w:t>
      </w:r>
      <w:r w:rsidRPr="00693FF6">
        <w:rPr>
          <w:rFonts w:ascii="Times New Roman" w:hAnsi="Times New Roman" w:cs="Times New Roman"/>
          <w:sz w:val="24"/>
          <w:szCs w:val="24"/>
        </w:rPr>
        <w:t xml:space="preserve">, M., &amp; </w:t>
      </w:r>
      <w:r w:rsidRPr="00693FF6">
        <w:rPr>
          <w:rFonts w:ascii="Times New Roman" w:hAnsi="Times New Roman" w:cs="Times New Roman"/>
          <w:sz w:val="24"/>
          <w:szCs w:val="24"/>
        </w:rPr>
        <w:t>Neuner</w:t>
      </w:r>
      <w:r w:rsidRPr="00693FF6">
        <w:rPr>
          <w:rFonts w:ascii="Times New Roman" w:hAnsi="Times New Roman" w:cs="Times New Roman"/>
          <w:sz w:val="24"/>
          <w:szCs w:val="24"/>
        </w:rPr>
        <w:t>, F. (2017). Dissemination of psychotherapy</w:t>
      </w:r>
    </w:p>
    <w:p w:rsidR="00F82502" w:rsidRPr="00693FF6" w:rsidP="00C802EC">
      <w:pPr>
        <w:spacing w:line="480" w:lineRule="auto"/>
        <w:ind w:left="720" w:firstLine="60"/>
        <w:rPr>
          <w:rFonts w:ascii="Times New Roman" w:hAnsi="Times New Roman" w:cs="Times New Roman"/>
          <w:sz w:val="24"/>
          <w:szCs w:val="24"/>
        </w:rPr>
      </w:pPr>
      <w:r w:rsidRPr="00693FF6">
        <w:rPr>
          <w:rFonts w:ascii="Times New Roman" w:hAnsi="Times New Roman" w:cs="Times New Roman"/>
          <w:sz w:val="24"/>
          <w:szCs w:val="24"/>
        </w:rPr>
        <w:t>modules</w:t>
      </w:r>
      <w:r w:rsidRPr="00693FF6">
        <w:rPr>
          <w:rFonts w:ascii="Times New Roman" w:hAnsi="Times New Roman" w:cs="Times New Roman"/>
          <w:sz w:val="24"/>
          <w:szCs w:val="24"/>
        </w:rPr>
        <w:t xml:space="preserve"> for traumatized refugees: experience gained from trauma work in crisis and conflict regions. Der </w:t>
      </w:r>
      <w:r w:rsidRPr="00693FF6">
        <w:rPr>
          <w:rFonts w:ascii="Times New Roman" w:hAnsi="Times New Roman" w:cs="Times New Roman"/>
          <w:sz w:val="24"/>
          <w:szCs w:val="24"/>
        </w:rPr>
        <w:t>Nervenarzt</w:t>
      </w:r>
      <w:r w:rsidRPr="00693FF6">
        <w:rPr>
          <w:rFonts w:ascii="Times New Roman" w:hAnsi="Times New Roman" w:cs="Times New Roman"/>
          <w:sz w:val="24"/>
          <w:szCs w:val="24"/>
        </w:rPr>
        <w:t>, 88(1), 26-33.</w:t>
      </w:r>
    </w:p>
    <w:p w:rsidR="00C802EC"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 xml:space="preserve">Meyer </w:t>
      </w:r>
      <w:r w:rsidRPr="00693FF6">
        <w:rPr>
          <w:rFonts w:ascii="Times New Roman" w:hAnsi="Times New Roman" w:cs="Times New Roman"/>
          <w:sz w:val="24"/>
          <w:szCs w:val="24"/>
        </w:rPr>
        <w:t>Parlapanis</w:t>
      </w:r>
      <w:r w:rsidRPr="00693FF6">
        <w:rPr>
          <w:rFonts w:ascii="Times New Roman" w:hAnsi="Times New Roman" w:cs="Times New Roman"/>
          <w:sz w:val="24"/>
          <w:szCs w:val="24"/>
        </w:rPr>
        <w:t xml:space="preserve">, D., Elbert, T., &amp; </w:t>
      </w:r>
      <w:r w:rsidRPr="00693FF6">
        <w:rPr>
          <w:rFonts w:ascii="Times New Roman" w:hAnsi="Times New Roman" w:cs="Times New Roman"/>
          <w:sz w:val="24"/>
          <w:szCs w:val="24"/>
        </w:rPr>
        <w:t>Schauer</w:t>
      </w:r>
      <w:r w:rsidRPr="00693FF6">
        <w:rPr>
          <w:rFonts w:ascii="Times New Roman" w:hAnsi="Times New Roman" w:cs="Times New Roman"/>
          <w:sz w:val="24"/>
          <w:szCs w:val="24"/>
        </w:rPr>
        <w:t>, M. (2017). MEMOTV-Epigenetic, neural and</w:t>
      </w:r>
    </w:p>
    <w:p w:rsidR="00D97101" w:rsidRPr="00693FF6" w:rsidP="00C802EC">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 xml:space="preserve"> </w:t>
      </w:r>
      <w:r w:rsidRPr="00693FF6">
        <w:rPr>
          <w:rFonts w:ascii="Times New Roman" w:hAnsi="Times New Roman" w:cs="Times New Roman"/>
          <w:sz w:val="24"/>
          <w:szCs w:val="24"/>
        </w:rPr>
        <w:t>cognitive</w:t>
      </w:r>
      <w:r w:rsidRPr="00693FF6">
        <w:rPr>
          <w:rFonts w:ascii="Times New Roman" w:hAnsi="Times New Roman" w:cs="Times New Roman"/>
          <w:sz w:val="24"/>
          <w:szCs w:val="24"/>
        </w:rPr>
        <w:t xml:space="preserve"> memories of traumatic stress and violence-FP7. Impact, 2017(2), 45-47.</w:t>
      </w:r>
    </w:p>
    <w:p w:rsidR="00C802EC"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Mirabito</w:t>
      </w:r>
      <w:r w:rsidRPr="00693FF6">
        <w:rPr>
          <w:rFonts w:ascii="Times New Roman" w:hAnsi="Times New Roman" w:cs="Times New Roman"/>
          <w:sz w:val="24"/>
          <w:szCs w:val="24"/>
        </w:rPr>
        <w:t>, D. M. (2017). Social Work Theory and Practice for Crisis, Disaster, and Trauma.</w:t>
      </w:r>
    </w:p>
    <w:p w:rsidR="00D97101" w:rsidRPr="00693FF6" w:rsidP="00C802EC">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 xml:space="preserve"> Social Work Treatment: Interlocking Theoretical Approaches, 117.</w:t>
      </w:r>
    </w:p>
    <w:p w:rsidR="00C802EC" w:rsidRPr="00693FF6" w:rsidP="00D97101">
      <w:pPr>
        <w:spacing w:line="480" w:lineRule="auto"/>
        <w:rPr>
          <w:rFonts w:ascii="Times New Roman" w:hAnsi="Times New Roman" w:cs="Times New Roman"/>
          <w:sz w:val="24"/>
          <w:szCs w:val="24"/>
        </w:rPr>
      </w:pPr>
      <w:r w:rsidRPr="00693FF6">
        <w:rPr>
          <w:rFonts w:ascii="Times New Roman" w:hAnsi="Times New Roman" w:cs="Times New Roman"/>
          <w:sz w:val="24"/>
          <w:szCs w:val="24"/>
        </w:rPr>
        <w:t>Kitchingman</w:t>
      </w:r>
      <w:r w:rsidRPr="00693FF6">
        <w:rPr>
          <w:rFonts w:ascii="Times New Roman" w:hAnsi="Times New Roman" w:cs="Times New Roman"/>
          <w:sz w:val="24"/>
          <w:szCs w:val="24"/>
        </w:rPr>
        <w:t xml:space="preserve">, T. A., Wilson, C. J., </w:t>
      </w:r>
      <w:r w:rsidRPr="00693FF6">
        <w:rPr>
          <w:rFonts w:ascii="Times New Roman" w:hAnsi="Times New Roman" w:cs="Times New Roman"/>
          <w:sz w:val="24"/>
          <w:szCs w:val="24"/>
        </w:rPr>
        <w:t>Caputi</w:t>
      </w:r>
      <w:r w:rsidRPr="00693FF6">
        <w:rPr>
          <w:rFonts w:ascii="Times New Roman" w:hAnsi="Times New Roman" w:cs="Times New Roman"/>
          <w:sz w:val="24"/>
          <w:szCs w:val="24"/>
        </w:rPr>
        <w:t>, P., Wilson, I., &amp; Woodward, A. (2017). Telephone</w:t>
      </w:r>
    </w:p>
    <w:p w:rsidR="00D97101" w:rsidRPr="00693FF6" w:rsidP="00C802EC">
      <w:pPr>
        <w:spacing w:line="480" w:lineRule="auto"/>
        <w:ind w:firstLine="720"/>
        <w:rPr>
          <w:rFonts w:ascii="Times New Roman" w:hAnsi="Times New Roman" w:cs="Times New Roman"/>
          <w:sz w:val="24"/>
          <w:szCs w:val="24"/>
        </w:rPr>
      </w:pPr>
      <w:r w:rsidRPr="00693FF6">
        <w:rPr>
          <w:rFonts w:ascii="Times New Roman" w:hAnsi="Times New Roman" w:cs="Times New Roman"/>
          <w:sz w:val="24"/>
          <w:szCs w:val="24"/>
        </w:rPr>
        <w:t xml:space="preserve"> </w:t>
      </w:r>
      <w:r w:rsidRPr="00693FF6">
        <w:rPr>
          <w:rFonts w:ascii="Times New Roman" w:hAnsi="Times New Roman" w:cs="Times New Roman"/>
          <w:sz w:val="24"/>
          <w:szCs w:val="24"/>
        </w:rPr>
        <w:t>crisis</w:t>
      </w:r>
      <w:r w:rsidRPr="00693FF6">
        <w:rPr>
          <w:rFonts w:ascii="Times New Roman" w:hAnsi="Times New Roman" w:cs="Times New Roman"/>
          <w:sz w:val="24"/>
          <w:szCs w:val="24"/>
        </w:rPr>
        <w:t xml:space="preserve"> support workers' psychological distress and impairment. Crisis.</w:t>
      </w:r>
    </w:p>
    <w:sectPr w:rsidSect="00D97101">
      <w:headerReference w:type="even" r:id="rId4"/>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101" w:rsidRPr="00D97101">
    <w:pPr>
      <w:pStyle w:val="Header"/>
      <w:rPr>
        <w:rFonts w:ascii="Times New Roman" w:hAnsi="Times New Roman" w:cs="Times New Roman"/>
        <w:sz w:val="24"/>
        <w:szCs w:val="24"/>
      </w:rPr>
    </w:pPr>
    <w:r w:rsidRPr="00D97101">
      <w:rPr>
        <w:rFonts w:ascii="Times New Roman" w:hAnsi="Times New Roman" w:cs="Times New Roman"/>
        <w:sz w:val="24"/>
        <w:szCs w:val="24"/>
      </w:rPr>
      <w:t>CRISIS AND TRAUMA</w:t>
    </w:r>
    <w:r w:rsidRPr="00D97101">
      <w:t xml:space="preserve"> </w:t>
    </w:r>
    <w:r w:rsidRPr="00D97101">
      <w:rPr>
        <w:rFonts w:ascii="Times New Roman" w:hAnsi="Times New Roman" w:cs="Times New Roman"/>
        <w:sz w:val="24"/>
        <w:szCs w:val="24"/>
      </w:rPr>
      <w:t>IN SOCIAL WORK</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101" w:rsidRPr="00D97101">
    <w:pPr>
      <w:pStyle w:val="Header"/>
      <w:rPr>
        <w:rFonts w:ascii="Times New Roman" w:hAnsi="Times New Roman" w:cs="Times New Roman"/>
        <w:sz w:val="24"/>
        <w:szCs w:val="24"/>
      </w:rPr>
    </w:pPr>
    <w:r w:rsidRPr="00D97101">
      <w:rPr>
        <w:rFonts w:ascii="Times New Roman" w:hAnsi="Times New Roman" w:cs="Times New Roman"/>
        <w:sz w:val="24"/>
        <w:szCs w:val="24"/>
      </w:rPr>
      <w:t>CRISIS AND TRAUMA</w:t>
    </w:r>
    <w:r w:rsidRPr="00D97101">
      <w:t xml:space="preserve"> </w:t>
    </w:r>
    <w:r w:rsidRPr="00D97101">
      <w:rPr>
        <w:rFonts w:ascii="Times New Roman" w:hAnsi="Times New Roman" w:cs="Times New Roman"/>
        <w:sz w:val="24"/>
        <w:szCs w:val="24"/>
      </w:rPr>
      <w:t>IN SOCIAL WORK</w:t>
    </w:r>
    <w:r w:rsidRPr="00D97101">
      <w:rPr>
        <w:rFonts w:ascii="Times New Roman" w:hAnsi="Times New Roman" w:cs="Times New Roman"/>
        <w:sz w:val="24"/>
        <w:szCs w:val="24"/>
      </w:rPr>
      <w:tab/>
    </w:r>
    <w:r w:rsidRPr="00D97101">
      <w:rPr>
        <w:rFonts w:ascii="Times New Roman" w:hAnsi="Times New Roman" w:cs="Times New Roman"/>
        <w:sz w:val="24"/>
        <w:szCs w:val="24"/>
      </w:rPr>
      <w:tab/>
      <w:t>3</w:t>
    </w:r>
  </w:p>
  <w:p w:rsidR="00D97101" w:rsidRPr="00D97101">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101" w:rsidRPr="00D97101">
    <w:pPr>
      <w:pStyle w:val="Header"/>
      <w:rPr>
        <w:rFonts w:ascii="Times New Roman" w:hAnsi="Times New Roman" w:cs="Times New Roman"/>
        <w:sz w:val="24"/>
        <w:szCs w:val="24"/>
      </w:rPr>
    </w:pPr>
    <w:r w:rsidRPr="00D97101">
      <w:rPr>
        <w:rFonts w:ascii="Times New Roman" w:hAnsi="Times New Roman" w:cs="Times New Roman"/>
        <w:sz w:val="24"/>
        <w:szCs w:val="24"/>
      </w:rPr>
      <w:t>Running Head: CRISIS AND TRAUMA</w:t>
    </w:r>
    <w:r>
      <w:rPr>
        <w:rFonts w:ascii="Times New Roman" w:hAnsi="Times New Roman" w:cs="Times New Roman"/>
        <w:sz w:val="24"/>
        <w:szCs w:val="24"/>
      </w:rPr>
      <w:t xml:space="preserve"> IN SOCIAL</w:t>
    </w:r>
    <w:r w:rsidRPr="00D97101">
      <w:rPr>
        <w:rFonts w:ascii="Times New Roman" w:hAnsi="Times New Roman" w:cs="Times New Roman"/>
        <w:sz w:val="24"/>
        <w:szCs w:val="24"/>
      </w:rPr>
      <w:t xml:space="preserve"> WORK</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6A"/>
    <w:rsid w:val="00251E6D"/>
    <w:rsid w:val="00356972"/>
    <w:rsid w:val="0039256A"/>
    <w:rsid w:val="0049022A"/>
    <w:rsid w:val="00543CB6"/>
    <w:rsid w:val="005D11FD"/>
    <w:rsid w:val="005F5CD7"/>
    <w:rsid w:val="00637ACA"/>
    <w:rsid w:val="00671A69"/>
    <w:rsid w:val="00693FF6"/>
    <w:rsid w:val="007532FF"/>
    <w:rsid w:val="0075345F"/>
    <w:rsid w:val="00753B62"/>
    <w:rsid w:val="00754079"/>
    <w:rsid w:val="007E3F2C"/>
    <w:rsid w:val="00885EF6"/>
    <w:rsid w:val="008E55F9"/>
    <w:rsid w:val="009060E3"/>
    <w:rsid w:val="009D066F"/>
    <w:rsid w:val="00A02303"/>
    <w:rsid w:val="00AD0D88"/>
    <w:rsid w:val="00B122F9"/>
    <w:rsid w:val="00C802EC"/>
    <w:rsid w:val="00CE252C"/>
    <w:rsid w:val="00D80C27"/>
    <w:rsid w:val="00D97101"/>
    <w:rsid w:val="00DF733D"/>
    <w:rsid w:val="00E76495"/>
    <w:rsid w:val="00F375BC"/>
    <w:rsid w:val="00F82502"/>
    <w:rsid w:val="00F86256"/>
    <w:rsid w:val="00FF72FC"/>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CC1571AA-D68B-4139-B7C6-5946A9849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1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101"/>
  </w:style>
  <w:style w:type="paragraph" w:styleId="Footer">
    <w:name w:val="footer"/>
    <w:basedOn w:val="Normal"/>
    <w:link w:val="FooterChar"/>
    <w:uiPriority w:val="99"/>
    <w:unhideWhenUsed/>
    <w:rsid w:val="00D971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2018-12-04T01:25:00Z</dcterms:created>
  <dcterms:modified xsi:type="dcterms:W3CDTF">2018-12-04T01:25:00Z</dcterms:modified>
</cp:coreProperties>
</file>